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Sales Performance Improvement Plan</w:t>
      </w:r>
    </w:p>
    <w:tbl>
      <w:tblPr>
        <w:tblStyle w:val="TableGrid"/>
        <w:tblW w:type="auto" w:w="0"/>
        <w:jc w:val="center"/>
        <w:tblLook w:firstColumn="1" w:firstRow="1" w:lastColumn="0" w:lastRow="0" w:noHBand="0" w:noVBand="1" w:val="04A0"/>
      </w:tblPr>
      <w:tblGrid>
        <w:gridCol w:w="9360"/>
      </w:tblGrid>
      <w:tr>
        <w:tc>
          <w:tcPr>
            <w:tcW w:type="dxa" w:w="9360"/>
            <w:shd w:val="clear" w:color="auto" w:fill="FDECEA"/>
          </w:tcPr>
          <w:p>
            <w:r/>
            <w:r>
              <w:rPr>
                <w:b/>
                <w:i w:val="0"/>
                <w:color w:val="C92A1F"/>
                <w:sz w:val="21"/>
              </w:rPr>
              <w:t>Not legal or HR advice. ORM Technologies is a revenue forecasting company, not a law firm or an HR consultancy. Employment law differs by country and US state, and your own handbook may set rules for performance plans. Check this plan, its timing and any outcome with HR and employment counsel before you give it to the employee and before you act on the result. Delete this box and every drafting note before use.</w:t>
            </w:r>
          </w:p>
        </w:tc>
      </w:tr>
    </w:tbl>
    <w:p/>
    <w:p>
      <w:pPr>
        <w:pStyle w:val="Heading1"/>
      </w:pPr>
      <w:r>
        <w:t>How to use this template (delete this page before use)</w:t>
      </w:r>
    </w:p>
    <w:p>
      <w:pPr>
        <w:pStyle w:val="ListBullet"/>
      </w:pPr>
      <w:r>
        <w:rPr>
          <w:b w:val="0"/>
          <w:i w:val="0"/>
        </w:rPr>
        <w:t>Highlighted text in [brackets] is a fill-in. In the example file the fill-ins hold illustrative values for a made-up rep at a made-up SaaS company.</w:t>
      </w:r>
    </w:p>
    <w:p>
      <w:pPr>
        <w:pStyle w:val="ListBullet"/>
      </w:pPr>
      <w:r>
        <w:rPr>
          <w:b w:val="0"/>
          <w:i w:val="0"/>
        </w:rPr>
        <w:t>Italic gray paragraphs that start with "Drafting note" explain a choice. Delete them before the plan goes to the employee.</w:t>
      </w:r>
    </w:p>
    <w:p>
      <w:pPr>
        <w:pStyle w:val="ListBullet"/>
      </w:pPr>
      <w:r>
        <w:rPr>
          <w:b w:val="0"/>
          <w:i w:val="0"/>
        </w:rPr>
        <w:t>Write the plan with HR before you meet the rep. Do the system check in Section 3 first: if the cause is territory, pipeline supply, ramp or the market, a PIP is the wrong tool.</w:t>
      </w:r>
    </w:p>
    <w:p>
      <w:pPr>
        <w:pStyle w:val="ListBullet"/>
      </w:pPr>
      <w:r>
        <w:rPr>
          <w:b w:val="0"/>
          <w:i w:val="0"/>
        </w:rPr>
        <w:t>Run the plan on the companion workbook, orm-sales-pip-tracker-blank.xlsx, from the same page. It holds the weekly log, the pacing math and the day 30, 60 and 90 checkpoints.</w:t>
      </w:r>
    </w:p>
    <w:p>
      <w:pPr>
        <w:pStyle w:val="ListBullet"/>
      </w:pPr>
      <w:r>
        <w:rPr>
          <w:b w:val="0"/>
          <w:i w:val="0"/>
        </w:rPr>
        <w:t>Align the plan with the quarter when you can. A plan that starts in week 9 is judged mostly on pipeline it cannot change.</w:t>
      </w:r>
    </w:p>
    <w:p>
      <w:pPr>
        <w:pStyle w:val="ListBullet"/>
      </w:pPr>
      <w:r>
        <w:rPr>
          <w:b w:val="0"/>
          <w:i w:val="0"/>
        </w:rPr>
        <w:t>Google Docs: upload the .docx to Google Drive and open it with Google Docs. Highlights and tables carry over. For a PDF, use File &gt; Save as PDF in Word, or File &gt; Download &gt; PDF in Google Docs.</w:t>
      </w:r>
    </w:p>
    <w:p>
      <w:pPr>
        <w:pStyle w:val="Heading2"/>
      </w:pPr>
      <w:r>
        <w:t>Checks to make with HR and counsel before the plan starts</w:t>
      </w:r>
    </w:p>
    <w:tbl>
      <w:tblPr>
        <w:tblStyle w:val="TableGrid"/>
        <w:tblW w:type="auto" w:w="0"/>
        <w:tblLook w:firstColumn="1" w:firstRow="1" w:lastColumn="0" w:lastRow="0" w:noHBand="0" w:noVBand="1" w:val="04A0"/>
      </w:tblPr>
      <w:tblGrid>
        <w:gridCol w:w="3120"/>
        <w:gridCol w:w="3120"/>
        <w:gridCol w:w="3120"/>
      </w:tblGrid>
      <w:tr>
        <w:tc>
          <w:tcPr>
            <w:tcW w:type="dxa" w:w="3120"/>
            <w:shd w:val="clear" w:color="auto" w:fill="F2F2F2"/>
          </w:tcPr>
          <w:p>
            <w:r/>
            <w:r>
              <w:rPr>
                <w:b/>
                <w:sz w:val="20"/>
              </w:rPr>
              <w:t>Check</w:t>
            </w:r>
          </w:p>
        </w:tc>
        <w:tc>
          <w:tcPr>
            <w:tcW w:type="dxa" w:w="3120"/>
            <w:shd w:val="clear" w:color="auto" w:fill="F2F2F2"/>
          </w:tcPr>
          <w:p>
            <w:r/>
            <w:r>
              <w:rPr>
                <w:b/>
                <w:sz w:val="20"/>
              </w:rPr>
              <w:t>Why it matters</w:t>
            </w:r>
          </w:p>
        </w:tc>
        <w:tc>
          <w:tcPr>
            <w:tcW w:type="dxa" w:w="3120"/>
            <w:shd w:val="clear" w:color="auto" w:fill="F2F2F2"/>
          </w:tcPr>
          <w:p>
            <w:r/>
            <w:r>
              <w:rPr>
                <w:b/>
                <w:sz w:val="20"/>
              </w:rPr>
              <w:t>Primary source</w:t>
            </w:r>
          </w:p>
        </w:tc>
      </w:tr>
      <w:tr>
        <w:tc>
          <w:tcPr>
            <w:tcW w:type="dxa" w:w="3120"/>
          </w:tcPr>
          <w:p>
            <w:r/>
            <w:r>
              <w:rPr>
                <w:b w:val="0"/>
                <w:i w:val="0"/>
                <w:sz w:val="20"/>
              </w:rPr>
              <w:t>Has the employee recently complained about discrimination or harassment, joined an investigation, or asked for an accommodation?</w:t>
            </w:r>
          </w:p>
        </w:tc>
        <w:tc>
          <w:tcPr>
            <w:tcW w:type="dxa" w:w="3120"/>
          </w:tcPr>
          <w:p>
            <w:r/>
            <w:r>
              <w:rPr>
                <w:b w:val="0"/>
                <w:i w:val="0"/>
                <w:sz w:val="20"/>
              </w:rPr>
              <w:t>The EEOC lists a lower-than-deserved performance evaluation and increased scrutiny among the actions that can be retaliation for protected activity.</w:t>
            </w:r>
          </w:p>
        </w:tc>
        <w:tc>
          <w:tcPr>
            <w:tcW w:type="dxa" w:w="3120"/>
          </w:tcPr>
          <w:p>
            <w:r/>
            <w:r>
              <w:rPr>
                <w:b w:val="0"/>
                <w:i w:val="0"/>
                <w:sz w:val="20"/>
              </w:rPr>
              <w:t>eeoc.gov/retaliation</w:t>
            </w:r>
          </w:p>
        </w:tc>
      </w:tr>
      <w:tr>
        <w:tc>
          <w:tcPr>
            <w:tcW w:type="dxa" w:w="3120"/>
          </w:tcPr>
          <w:p>
            <w:r/>
            <w:r>
              <w:rPr>
                <w:b w:val="0"/>
                <w:i w:val="0"/>
                <w:sz w:val="20"/>
              </w:rPr>
              <w:t>Has the employee raised a medical condition or asked for an accommodation?</w:t>
            </w:r>
          </w:p>
        </w:tc>
        <w:tc>
          <w:tcPr>
            <w:tcW w:type="dxa" w:w="3120"/>
          </w:tcPr>
          <w:p>
            <w:r/>
            <w:r>
              <w:rPr>
                <w:b w:val="0"/>
                <w:i w:val="0"/>
                <w:sz w:val="20"/>
              </w:rPr>
              <w:t>Under EEOC guidance an employee with a disability must meet the same production standards as others in the job, and a reasonable accommodation may be required to help meet them. The employer does not have to excuse performance problems from before the request.</w:t>
            </w:r>
          </w:p>
        </w:tc>
        <w:tc>
          <w:tcPr>
            <w:tcW w:type="dxa" w:w="3120"/>
          </w:tcPr>
          <w:p>
            <w:r/>
            <w:r>
              <w:rPr>
                <w:b w:val="0"/>
                <w:i w:val="0"/>
                <w:sz w:val="20"/>
              </w:rPr>
              <w:t>EEOC, Applying Performance and Conduct Standards to Employees with Disabilities</w:t>
            </w:r>
          </w:p>
        </w:tc>
      </w:tr>
      <w:tr>
        <w:tc>
          <w:tcPr>
            <w:tcW w:type="dxa" w:w="3120"/>
          </w:tcPr>
          <w:p>
            <w:r/>
            <w:r>
              <w:rPr>
                <w:b w:val="0"/>
                <w:i w:val="0"/>
                <w:sz w:val="20"/>
              </w:rPr>
              <w:t>Does your handbook or written policy describe a performance process?</w:t>
            </w:r>
          </w:p>
        </w:tc>
        <w:tc>
          <w:tcPr>
            <w:tcW w:type="dxa" w:w="3120"/>
          </w:tcPr>
          <w:p>
            <w:r/>
            <w:r>
              <w:rPr>
                <w:b w:val="0"/>
                <w:i w:val="0"/>
                <w:sz w:val="20"/>
              </w:rPr>
              <w:t>In Montana, a discharge can be wrongful if the employer materially broke its own written personnel policy and that took away the employee's fair chance to keep the job. Elsewhere, check whether your handbook commits the company to specific steps, and follow them.</w:t>
            </w:r>
          </w:p>
        </w:tc>
        <w:tc>
          <w:tcPr>
            <w:tcW w:type="dxa" w:w="3120"/>
          </w:tcPr>
          <w:p>
            <w:r/>
            <w:r>
              <w:rPr>
                <w:b w:val="0"/>
                <w:i w:val="0"/>
                <w:sz w:val="20"/>
              </w:rPr>
              <w:t>Montana Code Annotated 39-2-904</w:t>
            </w:r>
          </w:p>
        </w:tc>
      </w:tr>
      <w:tr>
        <w:tc>
          <w:tcPr>
            <w:tcW w:type="dxa" w:w="3120"/>
          </w:tcPr>
          <w:p>
            <w:r/>
            <w:r>
              <w:rPr>
                <w:b w:val="0"/>
                <w:i w:val="0"/>
                <w:sz w:val="20"/>
              </w:rPr>
              <w:t>What does the employee's state require for final pay and earned commission?</w:t>
            </w:r>
          </w:p>
        </w:tc>
        <w:tc>
          <w:tcPr>
            <w:tcW w:type="dxa" w:w="3120"/>
          </w:tcPr>
          <w:p>
            <w:r/>
            <w:r>
              <w:rPr>
                <w:b w:val="0"/>
                <w:i w:val="0"/>
                <w:sz w:val="20"/>
              </w:rPr>
              <w:t>The US Department of Labor says federal law does not require an immediate final paycheck, but some states do.</w:t>
            </w:r>
          </w:p>
        </w:tc>
        <w:tc>
          <w:tcPr>
            <w:tcW w:type="dxa" w:w="3120"/>
          </w:tcPr>
          <w:p>
            <w:r/>
            <w:r>
              <w:rPr>
                <w:b w:val="0"/>
                <w:i w:val="0"/>
                <w:sz w:val="20"/>
              </w:rPr>
              <w:t>dol.gov, Last Paycheck</w:t>
            </w:r>
          </w:p>
        </w:tc>
      </w:tr>
      <w:tr>
        <w:tc>
          <w:tcPr>
            <w:tcW w:type="dxa" w:w="3120"/>
          </w:tcPr>
          <w:p>
            <w:r/>
            <w:r>
              <w:rPr>
                <w:b w:val="0"/>
                <w:i w:val="0"/>
                <w:sz w:val="20"/>
              </w:rPr>
              <w:t>Is the employee outside the US, in a union, or under a contract?</w:t>
            </w:r>
          </w:p>
        </w:tc>
        <w:tc>
          <w:tcPr>
            <w:tcW w:type="dxa" w:w="3120"/>
          </w:tcPr>
          <w:p>
            <w:r/>
            <w:r>
              <w:rPr>
                <w:b w:val="0"/>
                <w:i w:val="0"/>
                <w:sz w:val="20"/>
              </w:rPr>
              <w:t>Notice periods, consultation and termination rules can be very different. Get local advice.</w:t>
            </w:r>
          </w:p>
        </w:tc>
        <w:tc>
          <w:tcPr>
            <w:tcW w:type="dxa" w:w="3120"/>
          </w:tcPr>
          <w:p>
            <w:r/>
            <w:r>
              <w:rPr>
                <w:b w:val="0"/>
                <w:i w:val="0"/>
                <w:sz w:val="20"/>
              </w:rPr>
              <w:t>Local counsel</w:t>
            </w:r>
          </w:p>
        </w:tc>
      </w:tr>
    </w:tbl>
    <w:p/>
    <w:p>
      <w:r>
        <w:br w:type="page"/>
      </w:r>
    </w:p>
    <w:p>
      <w:pPr>
        <w:pStyle w:val="Title"/>
      </w:pPr>
      <w:r>
        <w:t>Sales Performance Improvement Plan</w:t>
      </w:r>
    </w:p>
    <w:p>
      <w:r>
        <w:rPr>
          <w:b w:val="0"/>
          <w:i w:val="0"/>
        </w:rPr>
        <w:t xml:space="preserve">Confidential. Prepared by </w:t>
      </w:r>
      <w:r>
        <w:rPr>
          <w:b w:val="0"/>
          <w:i w:val="0"/>
        </w:rPr>
        <w:t>Sample Manager</w:t>
      </w:r>
      <w:r>
        <w:rPr>
          <w:b w:val="0"/>
          <w:i w:val="0"/>
        </w:rPr>
        <w:t xml:space="preserve"> with </w:t>
      </w:r>
      <w:r>
        <w:rPr>
          <w:b w:val="0"/>
          <w:i w:val="0"/>
        </w:rPr>
        <w:t>Sample HR Partner</w:t>
      </w:r>
      <w:r>
        <w:rPr>
          <w:b w:val="0"/>
          <w:i w:val="0"/>
        </w:rPr>
        <w:t xml:space="preserve">, </w:t>
      </w:r>
      <w:r>
        <w:rPr>
          <w:b w:val="0"/>
          <w:i w:val="0"/>
        </w:rPr>
        <w:t>December 28, 2026</w:t>
      </w:r>
      <w:r>
        <w:rPr>
          <w:b w:val="0"/>
          <w:i w:val="0"/>
        </w:rPr>
        <w:t>.</w:t>
      </w:r>
    </w:p>
    <w:p>
      <w:pPr>
        <w:pStyle w:val="Heading1"/>
      </w:pPr>
      <w:r>
        <w:t>1. Plan details</w:t>
      </w:r>
    </w:p>
    <w:tbl>
      <w:tblPr>
        <w:tblStyle w:val="TableGrid"/>
        <w:tblW w:type="auto" w:w="0"/>
        <w:tblLook w:firstColumn="1" w:firstRow="1" w:lastColumn="0" w:lastRow="0" w:noHBand="0" w:noVBand="1" w:val="04A0"/>
      </w:tblPr>
      <w:tblGrid>
        <w:gridCol w:w="4680"/>
        <w:gridCol w:w="4680"/>
      </w:tblGrid>
      <w:tr>
        <w:tc>
          <w:tcPr>
            <w:tcW w:type="dxa" w:w="4680"/>
            <w:shd w:val="clear" w:color="auto" w:fill="F2F2F2"/>
          </w:tcPr>
          <w:p>
            <w:r/>
            <w:r>
              <w:rPr>
                <w:b/>
                <w:sz w:val="20"/>
              </w:rPr>
              <w:t>Item</w:t>
            </w:r>
          </w:p>
        </w:tc>
        <w:tc>
          <w:tcPr>
            <w:tcW w:type="dxa" w:w="4680"/>
            <w:shd w:val="clear" w:color="auto" w:fill="F2F2F2"/>
          </w:tcPr>
          <w:p>
            <w:r/>
            <w:r>
              <w:rPr>
                <w:b/>
                <w:sz w:val="20"/>
              </w:rPr>
              <w:t>Detail</w:t>
            </w:r>
          </w:p>
        </w:tc>
      </w:tr>
      <w:tr>
        <w:tc>
          <w:tcPr>
            <w:tcW w:type="dxa" w:w="4680"/>
          </w:tcPr>
          <w:p>
            <w:r/>
            <w:r>
              <w:rPr>
                <w:b w:val="0"/>
                <w:i w:val="0"/>
                <w:sz w:val="20"/>
              </w:rPr>
              <w:t>Employee</w:t>
            </w:r>
          </w:p>
        </w:tc>
        <w:tc>
          <w:tcPr>
            <w:tcW w:type="dxa" w:w="4680"/>
          </w:tcPr>
          <w:p>
            <w:r/>
            <w:r>
              <w:rPr>
                <w:b w:val="0"/>
                <w:i w:val="0"/>
                <w:sz w:val="20"/>
              </w:rPr>
              <w:t>Sample Rep</w:t>
            </w:r>
          </w:p>
        </w:tc>
      </w:tr>
      <w:tr>
        <w:tc>
          <w:tcPr>
            <w:tcW w:type="dxa" w:w="4680"/>
          </w:tcPr>
          <w:p>
            <w:r/>
            <w:r>
              <w:rPr>
                <w:b w:val="0"/>
                <w:i w:val="0"/>
                <w:sz w:val="20"/>
              </w:rPr>
              <w:t>Role, segment and tenure</w:t>
            </w:r>
          </w:p>
        </w:tc>
        <w:tc>
          <w:tcPr>
            <w:tcW w:type="dxa" w:w="4680"/>
          </w:tcPr>
          <w:p>
            <w:r/>
            <w:r>
              <w:rPr>
                <w:b w:val="0"/>
                <w:i w:val="0"/>
                <w:sz w:val="20"/>
              </w:rPr>
              <w:t>Account Executive, Mid-Market, 20 months</w:t>
            </w:r>
          </w:p>
        </w:tc>
      </w:tr>
      <w:tr>
        <w:tc>
          <w:tcPr>
            <w:tcW w:type="dxa" w:w="4680"/>
          </w:tcPr>
          <w:p>
            <w:r/>
            <w:r>
              <w:rPr>
                <w:b w:val="0"/>
                <w:i w:val="0"/>
                <w:sz w:val="20"/>
              </w:rPr>
              <w:t>Manager</w:t>
            </w:r>
          </w:p>
        </w:tc>
        <w:tc>
          <w:tcPr>
            <w:tcW w:type="dxa" w:w="4680"/>
          </w:tcPr>
          <w:p>
            <w:r/>
            <w:r>
              <w:rPr>
                <w:b w:val="0"/>
                <w:i w:val="0"/>
                <w:sz w:val="20"/>
              </w:rPr>
              <w:t>Sample Manager</w:t>
            </w:r>
          </w:p>
        </w:tc>
      </w:tr>
      <w:tr>
        <w:tc>
          <w:tcPr>
            <w:tcW w:type="dxa" w:w="4680"/>
          </w:tcPr>
          <w:p>
            <w:r/>
            <w:r>
              <w:rPr>
                <w:b w:val="0"/>
                <w:i w:val="0"/>
                <w:sz w:val="20"/>
              </w:rPr>
              <w:t>HR partner</w:t>
            </w:r>
          </w:p>
        </w:tc>
        <w:tc>
          <w:tcPr>
            <w:tcW w:type="dxa" w:w="4680"/>
          </w:tcPr>
          <w:p>
            <w:r/>
            <w:r>
              <w:rPr>
                <w:b w:val="0"/>
                <w:i w:val="0"/>
                <w:sz w:val="20"/>
              </w:rPr>
              <w:t>Sample HR Partner</w:t>
            </w:r>
          </w:p>
        </w:tc>
      </w:tr>
      <w:tr>
        <w:tc>
          <w:tcPr>
            <w:tcW w:type="dxa" w:w="4680"/>
          </w:tcPr>
          <w:p>
            <w:r/>
            <w:r>
              <w:rPr>
                <w:b w:val="0"/>
                <w:i w:val="0"/>
                <w:sz w:val="20"/>
              </w:rPr>
              <w:t>Plan start</w:t>
            </w:r>
          </w:p>
        </w:tc>
        <w:tc>
          <w:tcPr>
            <w:tcW w:type="dxa" w:w="4680"/>
          </w:tcPr>
          <w:p>
            <w:r/>
            <w:r>
              <w:rPr>
                <w:b w:val="0"/>
                <w:i w:val="0"/>
                <w:sz w:val="20"/>
              </w:rPr>
              <w:t>Monday, January 4, 2027 (day 1 of Q1)</w:t>
            </w:r>
          </w:p>
        </w:tc>
      </w:tr>
      <w:tr>
        <w:tc>
          <w:tcPr>
            <w:tcW w:type="dxa" w:w="4680"/>
          </w:tcPr>
          <w:p>
            <w:r/>
            <w:r>
              <w:rPr>
                <w:b w:val="0"/>
                <w:i w:val="0"/>
                <w:sz w:val="20"/>
              </w:rPr>
              <w:t>Checkpoints</w:t>
            </w:r>
          </w:p>
        </w:tc>
        <w:tc>
          <w:tcPr>
            <w:tcW w:type="dxa" w:w="4680"/>
          </w:tcPr>
          <w:p>
            <w:r/>
            <w:r>
              <w:rPr>
                <w:b w:val="0"/>
                <w:i w:val="0"/>
                <w:sz w:val="20"/>
              </w:rPr>
              <w:t>Day 30: Friday, January 29. Day 60: Friday, February 26. Day 90: Friday, April 2, 2027</w:t>
            </w:r>
          </w:p>
        </w:tc>
      </w:tr>
      <w:tr>
        <w:tc>
          <w:tcPr>
            <w:tcW w:type="dxa" w:w="4680"/>
          </w:tcPr>
          <w:p>
            <w:r/>
            <w:r>
              <w:rPr>
                <w:b w:val="0"/>
                <w:i w:val="0"/>
                <w:sz w:val="20"/>
              </w:rPr>
              <w:t>Plan end</w:t>
            </w:r>
          </w:p>
        </w:tc>
        <w:tc>
          <w:tcPr>
            <w:tcW w:type="dxa" w:w="4680"/>
          </w:tcPr>
          <w:p>
            <w:r/>
            <w:r>
              <w:rPr>
                <w:b w:val="0"/>
                <w:i w:val="0"/>
                <w:sz w:val="20"/>
              </w:rPr>
              <w:t>Friday, April 2, 2027</w:t>
            </w:r>
          </w:p>
        </w:tc>
      </w:tr>
      <w:tr>
        <w:tc>
          <w:tcPr>
            <w:tcW w:type="dxa" w:w="4680"/>
          </w:tcPr>
          <w:p>
            <w:r/>
            <w:r>
              <w:rPr>
                <w:b w:val="0"/>
                <w:i w:val="0"/>
                <w:sz w:val="20"/>
              </w:rPr>
              <w:t>Weekly check-in</w:t>
            </w:r>
          </w:p>
        </w:tc>
        <w:tc>
          <w:tcPr>
            <w:tcW w:type="dxa" w:w="4680"/>
          </w:tcPr>
          <w:p>
            <w:r/>
            <w:r>
              <w:rPr>
                <w:b w:val="0"/>
                <w:i w:val="0"/>
                <w:sz w:val="20"/>
              </w:rPr>
              <w:t>Thursdays, 15:00 to 15:20, separate from the weekly one-on-one</w:t>
            </w:r>
          </w:p>
        </w:tc>
      </w:tr>
    </w:tbl>
    <w:p/>
    <w:p>
      <w:pPr>
        <w:pStyle w:val="Heading1"/>
      </w:pPr>
      <w:r>
        <w:t>2. Why this plan exists</w:t>
      </w:r>
    </w:p>
    <w:p>
      <w:r>
        <w:rPr>
          <w:b w:val="0"/>
          <w:i w:val="0"/>
        </w:rPr>
        <w:t>The purpose of this plan is to set out, in writing, where your results are below what the role requires, what the specific targets are for the next 90 days, what support the company will give you, and how and when progress will be judged. The goal is for you to succeed in the role.</w:t>
      </w:r>
    </w:p>
    <w:p>
      <w:pPr>
        <w:pStyle w:val="Heading2"/>
      </w:pPr>
      <w:r>
        <w:t>The performance gap, with evidence</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shd w:val="clear" w:color="auto" w:fill="F2F2F2"/>
          </w:tcPr>
          <w:p>
            <w:r/>
            <w:r>
              <w:rPr>
                <w:b/>
                <w:sz w:val="20"/>
              </w:rPr>
              <w:t>Measure</w:t>
            </w:r>
          </w:p>
        </w:tc>
        <w:tc>
          <w:tcPr>
            <w:tcW w:type="dxa" w:w="1872"/>
            <w:shd w:val="clear" w:color="auto" w:fill="F2F2F2"/>
          </w:tcPr>
          <w:p>
            <w:r/>
            <w:r>
              <w:rPr>
                <w:b/>
                <w:sz w:val="20"/>
              </w:rPr>
              <w:t>Expectation for the role</w:t>
            </w:r>
          </w:p>
        </w:tc>
        <w:tc>
          <w:tcPr>
            <w:tcW w:type="dxa" w:w="1872"/>
            <w:shd w:val="clear" w:color="auto" w:fill="F2F2F2"/>
          </w:tcPr>
          <w:p>
            <w:r/>
            <w:r>
              <w:rPr>
                <w:b/>
                <w:sz w:val="20"/>
              </w:rPr>
              <w:t>Your result</w:t>
            </w:r>
          </w:p>
        </w:tc>
        <w:tc>
          <w:tcPr>
            <w:tcW w:type="dxa" w:w="1872"/>
            <w:shd w:val="clear" w:color="auto" w:fill="F2F2F2"/>
          </w:tcPr>
          <w:p>
            <w:r/>
            <w:r>
              <w:rPr>
                <w:b/>
                <w:sz w:val="20"/>
              </w:rPr>
              <w:t>Peer median (same segment and tenure)</w:t>
            </w:r>
          </w:p>
        </w:tc>
        <w:tc>
          <w:tcPr>
            <w:tcW w:type="dxa" w:w="1872"/>
            <w:shd w:val="clear" w:color="auto" w:fill="F2F2F2"/>
          </w:tcPr>
          <w:p>
            <w:r/>
            <w:r>
              <w:rPr>
                <w:b/>
                <w:sz w:val="20"/>
              </w:rPr>
              <w:t>Period and report</w:t>
            </w:r>
          </w:p>
        </w:tc>
      </w:tr>
      <w:tr>
        <w:tc>
          <w:tcPr>
            <w:tcW w:type="dxa" w:w="1872"/>
          </w:tcPr>
          <w:p>
            <w:r/>
            <w:r>
              <w:rPr>
                <w:b w:val="0"/>
                <w:i w:val="0"/>
                <w:sz w:val="20"/>
              </w:rPr>
              <w:t>Quota attainment (new ARR)</w:t>
            </w:r>
          </w:p>
        </w:tc>
        <w:tc>
          <w:tcPr>
            <w:tcW w:type="dxa" w:w="1872"/>
          </w:tcPr>
          <w:p>
            <w:r/>
            <w:r>
              <w:rPr>
                <w:b w:val="0"/>
                <w:i w:val="0"/>
                <w:sz w:val="20"/>
              </w:rPr>
              <w:t>Within the team's normal range</w:t>
            </w:r>
          </w:p>
        </w:tc>
        <w:tc>
          <w:tcPr>
            <w:tcW w:type="dxa" w:w="1872"/>
          </w:tcPr>
          <w:p>
            <w:r/>
            <w:r>
              <w:rPr>
                <w:b w:val="0"/>
                <w:i w:val="0"/>
                <w:sz w:val="20"/>
              </w:rPr>
              <w:t>52% and 48%</w:t>
            </w:r>
          </w:p>
        </w:tc>
        <w:tc>
          <w:tcPr>
            <w:tcW w:type="dxa" w:w="1872"/>
          </w:tcPr>
          <w:p>
            <w:r/>
            <w:r>
              <w:rPr>
                <w:b w:val="0"/>
                <w:i w:val="0"/>
                <w:sz w:val="20"/>
              </w:rPr>
              <w:t>81% and 79%</w:t>
            </w:r>
          </w:p>
        </w:tc>
        <w:tc>
          <w:tcPr>
            <w:tcW w:type="dxa" w:w="1872"/>
          </w:tcPr>
          <w:p>
            <w:r/>
            <w:r>
              <w:rPr>
                <w:b w:val="0"/>
                <w:i w:val="0"/>
                <w:sz w:val="20"/>
              </w:rPr>
              <w:t>Q3 and Q4 2026, CRM bookings report</w:t>
            </w:r>
          </w:p>
        </w:tc>
      </w:tr>
      <w:tr>
        <w:tc>
          <w:tcPr>
            <w:tcW w:type="dxa" w:w="1872"/>
          </w:tcPr>
          <w:p>
            <w:r/>
            <w:r>
              <w:rPr>
                <w:b w:val="0"/>
                <w:i w:val="0"/>
                <w:sz w:val="20"/>
              </w:rPr>
              <w:t>Discovery to qualified conversion</w:t>
            </w:r>
          </w:p>
        </w:tc>
        <w:tc>
          <w:tcPr>
            <w:tcW w:type="dxa" w:w="1872"/>
          </w:tcPr>
          <w:p>
            <w:r/>
            <w:r>
              <w:rPr>
                <w:b w:val="0"/>
                <w:i w:val="0"/>
                <w:sz w:val="20"/>
              </w:rPr>
              <w:t>At or near the peer median</w:t>
            </w:r>
          </w:p>
        </w:tc>
        <w:tc>
          <w:tcPr>
            <w:tcW w:type="dxa" w:w="1872"/>
          </w:tcPr>
          <w:p>
            <w:r/>
            <w:r>
              <w:rPr>
                <w:b w:val="0"/>
                <w:i w:val="0"/>
                <w:sz w:val="20"/>
              </w:rPr>
              <w:t>22%</w:t>
            </w:r>
          </w:p>
        </w:tc>
        <w:tc>
          <w:tcPr>
            <w:tcW w:type="dxa" w:w="1872"/>
          </w:tcPr>
          <w:p>
            <w:r/>
            <w:r>
              <w:rPr>
                <w:b w:val="0"/>
                <w:i w:val="0"/>
                <w:sz w:val="20"/>
              </w:rPr>
              <w:t>40%</w:t>
            </w:r>
          </w:p>
        </w:tc>
        <w:tc>
          <w:tcPr>
            <w:tcW w:type="dxa" w:w="1872"/>
          </w:tcPr>
          <w:p>
            <w:r/>
            <w:r>
              <w:rPr>
                <w:b w:val="0"/>
                <w:i w:val="0"/>
                <w:sz w:val="20"/>
              </w:rPr>
              <w:t>Q4 2026, opportunity stage report</w:t>
            </w:r>
          </w:p>
        </w:tc>
      </w:tr>
      <w:tr>
        <w:tc>
          <w:tcPr>
            <w:tcW w:type="dxa" w:w="1872"/>
          </w:tcPr>
          <w:p>
            <w:r/>
            <w:r>
              <w:rPr>
                <w:b w:val="0"/>
                <w:i w:val="0"/>
                <w:sz w:val="20"/>
              </w:rPr>
              <w:t>Qualified pipeline created per week</w:t>
            </w:r>
          </w:p>
        </w:tc>
        <w:tc>
          <w:tcPr>
            <w:tcW w:type="dxa" w:w="1872"/>
          </w:tcPr>
          <w:p>
            <w:r/>
            <w:r>
              <w:rPr>
                <w:b w:val="0"/>
                <w:i w:val="0"/>
                <w:sz w:val="20"/>
              </w:rPr>
              <w:t>At or near the peer median</w:t>
            </w:r>
          </w:p>
        </w:tc>
        <w:tc>
          <w:tcPr>
            <w:tcW w:type="dxa" w:w="1872"/>
          </w:tcPr>
          <w:p>
            <w:r/>
            <w:r>
              <w:rPr>
                <w:b w:val="0"/>
                <w:i w:val="0"/>
                <w:sz w:val="20"/>
              </w:rPr>
              <w:t>$24,000</w:t>
            </w:r>
          </w:p>
        </w:tc>
        <w:tc>
          <w:tcPr>
            <w:tcW w:type="dxa" w:w="1872"/>
          </w:tcPr>
          <w:p>
            <w:r/>
            <w:r>
              <w:rPr>
                <w:b w:val="0"/>
                <w:i w:val="0"/>
                <w:sz w:val="20"/>
              </w:rPr>
              <w:t>$37,500</w:t>
            </w:r>
          </w:p>
        </w:tc>
        <w:tc>
          <w:tcPr>
            <w:tcW w:type="dxa" w:w="1872"/>
          </w:tcPr>
          <w:p>
            <w:r/>
            <w:r>
              <w:rPr>
                <w:b w:val="0"/>
                <w:i w:val="0"/>
                <w:sz w:val="20"/>
              </w:rPr>
              <w:t>Q4 2026, pipeline created report</w:t>
            </w:r>
          </w:p>
        </w:tc>
      </w:tr>
      <w:tr>
        <w:tc>
          <w:tcPr>
            <w:tcW w:type="dxa" w:w="1872"/>
          </w:tcPr>
          <w:p>
            <w:r/>
            <w:r>
              <w:rPr>
                <w:b w:val="0"/>
                <w:i w:val="0"/>
                <w:sz w:val="20"/>
              </w:rPr>
              <w:t>Close-date pushes on current-quarter deals per week</w:t>
            </w:r>
          </w:p>
        </w:tc>
        <w:tc>
          <w:tcPr>
            <w:tcW w:type="dxa" w:w="1872"/>
          </w:tcPr>
          <w:p>
            <w:r/>
            <w:r>
              <w:rPr>
                <w:b w:val="0"/>
                <w:i w:val="0"/>
                <w:sz w:val="20"/>
              </w:rPr>
              <w:t>At or near the peer median</w:t>
            </w:r>
          </w:p>
        </w:tc>
        <w:tc>
          <w:tcPr>
            <w:tcW w:type="dxa" w:w="1872"/>
          </w:tcPr>
          <w:p>
            <w:r/>
            <w:r>
              <w:rPr>
                <w:b w:val="0"/>
                <w:i w:val="0"/>
                <w:sz w:val="20"/>
              </w:rPr>
              <w:t>5</w:t>
            </w:r>
          </w:p>
        </w:tc>
        <w:tc>
          <w:tcPr>
            <w:tcW w:type="dxa" w:w="1872"/>
          </w:tcPr>
          <w:p>
            <w:r/>
            <w:r>
              <w:rPr>
                <w:b w:val="0"/>
                <w:i w:val="0"/>
                <w:sz w:val="20"/>
              </w:rPr>
              <w:t>2</w:t>
            </w:r>
          </w:p>
        </w:tc>
        <w:tc>
          <w:tcPr>
            <w:tcW w:type="dxa" w:w="1872"/>
          </w:tcPr>
          <w:p>
            <w:r/>
            <w:r>
              <w:rPr>
                <w:b w:val="0"/>
                <w:i w:val="0"/>
                <w:sz w:val="20"/>
              </w:rPr>
              <w:t>Q4 2026, field history report</w:t>
            </w:r>
          </w:p>
        </w:tc>
      </w:tr>
    </w:tbl>
    <w:p/>
    <w:p>
      <w:r>
        <w:rPr>
          <w:b w:val="0"/>
          <w:i/>
          <w:color w:val="555555"/>
          <w:sz w:val="19"/>
        </w:rPr>
        <w:t>Drafting note: compare the rep with peers in the same segment, tenure and territory type, never with the top rep. Use reports anyone can rerun, and attach them.</w:t>
      </w:r>
    </w:p>
    <w:p>
      <w:pPr>
        <w:pStyle w:val="Heading2"/>
      </w:pPr>
      <w:r>
        <w:t>What we have already done</w:t>
      </w:r>
    </w:p>
    <w:p>
      <w:r>
        <w:rPr>
          <w:b w:val="0"/>
          <w:i w:val="0"/>
        </w:rPr>
        <w:t>Since October 5, 2026 we have reviewed discovery calls in four one-on-ones (October 12 and 26, November 9 and 23) and agreed specific changes each time, recorded in the one-on-one notes. Conversion has not moved.</w:t>
      </w:r>
    </w:p>
    <w:p>
      <w:pPr>
        <w:pStyle w:val="Heading1"/>
      </w:pPr>
      <w:r>
        <w:t>3. What we checked before writing this plan</w:t>
      </w:r>
    </w:p>
    <w:p>
      <w:r>
        <w:rPr>
          <w:b w:val="0"/>
          <w:i w:val="0"/>
        </w:rPr>
        <w:t>A miss can come from the territory, the pipeline you were given, your ramp stage or the market. We checked each one so this plan addresses what you control.</w:t>
      </w:r>
    </w:p>
    <w:tbl>
      <w:tblPr>
        <w:tblStyle w:val="TableGrid"/>
        <w:tblW w:type="auto" w:w="0"/>
        <w:tblLook w:firstColumn="1" w:firstRow="1" w:lastColumn="0" w:lastRow="0" w:noHBand="0" w:noVBand="1" w:val="04A0"/>
      </w:tblPr>
      <w:tblGrid>
        <w:gridCol w:w="3120"/>
        <w:gridCol w:w="3120"/>
        <w:gridCol w:w="3120"/>
      </w:tblGrid>
      <w:tr>
        <w:tc>
          <w:tcPr>
            <w:tcW w:type="dxa" w:w="3120"/>
            <w:shd w:val="clear" w:color="auto" w:fill="F2F2F2"/>
          </w:tcPr>
          <w:p>
            <w:r/>
            <w:r>
              <w:rPr>
                <w:b/>
                <w:sz w:val="20"/>
              </w:rPr>
              <w:t>Possible cause</w:t>
            </w:r>
          </w:p>
        </w:tc>
        <w:tc>
          <w:tcPr>
            <w:tcW w:type="dxa" w:w="3120"/>
            <w:shd w:val="clear" w:color="auto" w:fill="F2F2F2"/>
          </w:tcPr>
          <w:p>
            <w:r/>
            <w:r>
              <w:rPr>
                <w:b/>
                <w:sz w:val="20"/>
              </w:rPr>
              <w:t>What we checked</w:t>
            </w:r>
          </w:p>
        </w:tc>
        <w:tc>
          <w:tcPr>
            <w:tcW w:type="dxa" w:w="3120"/>
            <w:shd w:val="clear" w:color="auto" w:fill="F2F2F2"/>
          </w:tcPr>
          <w:p>
            <w:r/>
            <w:r>
              <w:rPr>
                <w:b/>
                <w:sz w:val="20"/>
              </w:rPr>
              <w:t>Finding</w:t>
            </w:r>
          </w:p>
        </w:tc>
      </w:tr>
      <w:tr>
        <w:tc>
          <w:tcPr>
            <w:tcW w:type="dxa" w:w="3120"/>
          </w:tcPr>
          <w:p>
            <w:r/>
            <w:r>
              <w:rPr>
                <w:b w:val="0"/>
                <w:i w:val="0"/>
                <w:sz w:val="20"/>
              </w:rPr>
              <w:t>Ramp</w:t>
            </w:r>
          </w:p>
        </w:tc>
        <w:tc>
          <w:tcPr>
            <w:tcW w:type="dxa" w:w="3120"/>
          </w:tcPr>
          <w:p>
            <w:r/>
            <w:r>
              <w:rPr>
                <w:b w:val="0"/>
                <w:i w:val="0"/>
                <w:sz w:val="20"/>
              </w:rPr>
              <w:t>Tenure against the team's measured ramp curve</w:t>
            </w:r>
          </w:p>
        </w:tc>
        <w:tc>
          <w:tcPr>
            <w:tcW w:type="dxa" w:w="3120"/>
          </w:tcPr>
          <w:p>
            <w:r/>
            <w:r>
              <w:rPr>
                <w:b w:val="0"/>
                <w:i w:val="0"/>
                <w:sz w:val="20"/>
              </w:rPr>
              <w:t>20 months. Past the 15 to 18 months the team uses for full productivity.</w:t>
            </w:r>
          </w:p>
        </w:tc>
      </w:tr>
      <w:tr>
        <w:tc>
          <w:tcPr>
            <w:tcW w:type="dxa" w:w="3120"/>
          </w:tcPr>
          <w:p>
            <w:r/>
            <w:r>
              <w:rPr>
                <w:b w:val="0"/>
                <w:i w:val="0"/>
                <w:sz w:val="20"/>
              </w:rPr>
              <w:t>Territory and accounts</w:t>
            </w:r>
          </w:p>
        </w:tc>
        <w:tc>
          <w:tcPr>
            <w:tcW w:type="dxa" w:w="3120"/>
          </w:tcPr>
          <w:p>
            <w:r/>
            <w:r>
              <w:rPr>
                <w:b w:val="0"/>
                <w:i w:val="0"/>
                <w:sz w:val="20"/>
              </w:rPr>
              <w:t>Account count and fit score against two peers with similar books</w:t>
            </w:r>
          </w:p>
        </w:tc>
        <w:tc>
          <w:tcPr>
            <w:tcW w:type="dxa" w:w="3120"/>
          </w:tcPr>
          <w:p>
            <w:r/>
            <w:r>
              <w:rPr>
                <w:b w:val="0"/>
                <w:i w:val="0"/>
                <w:sz w:val="20"/>
              </w:rPr>
              <w:t>Similar. No reassignment in the last two quarters.</w:t>
            </w:r>
          </w:p>
        </w:tc>
      </w:tr>
      <w:tr>
        <w:tc>
          <w:tcPr>
            <w:tcW w:type="dxa" w:w="3120"/>
          </w:tcPr>
          <w:p>
            <w:r/>
            <w:r>
              <w:rPr>
                <w:b w:val="0"/>
                <w:i w:val="0"/>
                <w:sz w:val="20"/>
              </w:rPr>
              <w:t>Pipeline supply</w:t>
            </w:r>
          </w:p>
        </w:tc>
        <w:tc>
          <w:tcPr>
            <w:tcW w:type="dxa" w:w="3120"/>
          </w:tcPr>
          <w:p>
            <w:r/>
            <w:r>
              <w:rPr>
                <w:b w:val="0"/>
                <w:i w:val="0"/>
                <w:sz w:val="20"/>
              </w:rPr>
              <w:t>Inbound and SDR-sourced meetings booked for you</w:t>
            </w:r>
          </w:p>
        </w:tc>
        <w:tc>
          <w:tcPr>
            <w:tcW w:type="dxa" w:w="3120"/>
          </w:tcPr>
          <w:p>
            <w:r/>
            <w:r>
              <w:rPr>
                <w:b w:val="0"/>
                <w:i w:val="0"/>
                <w:sz w:val="20"/>
              </w:rPr>
              <w:t>6 first meetings a week, same as the peer median.</w:t>
            </w:r>
          </w:p>
        </w:tc>
      </w:tr>
      <w:tr>
        <w:tc>
          <w:tcPr>
            <w:tcW w:type="dxa" w:w="3120"/>
          </w:tcPr>
          <w:p>
            <w:r/>
            <w:r>
              <w:rPr>
                <w:b w:val="0"/>
                <w:i w:val="0"/>
                <w:sz w:val="20"/>
              </w:rPr>
              <w:t>Market and cycle length</w:t>
            </w:r>
          </w:p>
        </w:tc>
        <w:tc>
          <w:tcPr>
            <w:tcW w:type="dxa" w:w="3120"/>
          </w:tcPr>
          <w:p>
            <w:r/>
            <w:r>
              <w:rPr>
                <w:b w:val="0"/>
                <w:i w:val="0"/>
                <w:sz w:val="20"/>
              </w:rPr>
              <w:t>Peers' cycle length and win rate in the same segment</w:t>
            </w:r>
          </w:p>
        </w:tc>
        <w:tc>
          <w:tcPr>
            <w:tcW w:type="dxa" w:w="3120"/>
          </w:tcPr>
          <w:p>
            <w:r/>
            <w:r>
              <w:rPr>
                <w:b w:val="0"/>
                <w:i w:val="0"/>
                <w:sz w:val="20"/>
              </w:rPr>
              <w:t>Peers' cycles are longer this year too, but their conversion held. The gap is specific to your deals.</w:t>
            </w:r>
          </w:p>
        </w:tc>
      </w:tr>
      <w:tr>
        <w:tc>
          <w:tcPr>
            <w:tcW w:type="dxa" w:w="3120"/>
          </w:tcPr>
          <w:p>
            <w:r/>
            <w:r>
              <w:rPr>
                <w:b w:val="0"/>
                <w:i w:val="0"/>
                <w:sz w:val="20"/>
              </w:rPr>
              <w:t>Tools, leave or other factors</w:t>
            </w:r>
          </w:p>
        </w:tc>
        <w:tc>
          <w:tcPr>
            <w:tcW w:type="dxa" w:w="3120"/>
          </w:tcPr>
          <w:p>
            <w:r/>
            <w:r>
              <w:rPr>
                <w:b w:val="0"/>
                <w:i w:val="0"/>
                <w:sz w:val="20"/>
              </w:rPr>
              <w:t>CRM access, leave, territory changes</w:t>
            </w:r>
          </w:p>
        </w:tc>
        <w:tc>
          <w:tcPr>
            <w:tcW w:type="dxa" w:w="3120"/>
          </w:tcPr>
          <w:p>
            <w:r/>
            <w:r>
              <w:rPr>
                <w:b w:val="0"/>
                <w:i w:val="0"/>
                <w:sz w:val="20"/>
              </w:rPr>
              <w:t>None found.</w:t>
            </w:r>
          </w:p>
        </w:tc>
      </w:tr>
    </w:tbl>
    <w:p/>
    <w:p>
      <w:pPr>
        <w:pStyle w:val="Heading1"/>
      </w:pPr>
      <w:r>
        <w:t>4. Targets for the next 90 days</w:t>
      </w:r>
    </w:p>
    <w:p>
      <w:r>
        <w:rPr>
          <w:b w:val="0"/>
          <w:i w:val="0"/>
        </w:rPr>
        <w:t xml:space="preserve">Progress is judged on six leading indicators, by phase, and on bookings against a pace that follows the quarter's seasonality. Leading indicators are the activities that move results inside the plan window. All numbers come from </w:t>
      </w:r>
      <w:r>
        <w:rPr>
          <w:b w:val="0"/>
          <w:i w:val="0"/>
        </w:rPr>
        <w:t>the company CRM</w:t>
      </w:r>
      <w:r>
        <w:rPr>
          <w:b w:val="0"/>
          <w:i w:val="0"/>
        </w:rPr>
        <w:t>, using the reports named in Section 2.</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shd w:val="clear" w:color="auto" w:fill="F2F2F2"/>
          </w:tcPr>
          <w:p>
            <w:r/>
            <w:r>
              <w:rPr>
                <w:b/>
                <w:sz w:val="20"/>
              </w:rPr>
              <w:t>Leading indicator</w:t>
            </w:r>
          </w:p>
        </w:tc>
        <w:tc>
          <w:tcPr>
            <w:tcW w:type="dxa" w:w="1872"/>
            <w:shd w:val="clear" w:color="auto" w:fill="F2F2F2"/>
          </w:tcPr>
          <w:p>
            <w:r/>
            <w:r>
              <w:rPr>
                <w:b/>
                <w:sz w:val="20"/>
              </w:rPr>
              <w:t>How it is judged</w:t>
            </w:r>
          </w:p>
        </w:tc>
        <w:tc>
          <w:tcPr>
            <w:tcW w:type="dxa" w:w="1872"/>
            <w:shd w:val="clear" w:color="auto" w:fill="F2F2F2"/>
          </w:tcPr>
          <w:p>
            <w:r/>
            <w:r>
              <w:rPr>
                <w:b/>
                <w:sz w:val="20"/>
              </w:rPr>
              <w:t>Days 1-30</w:t>
            </w:r>
          </w:p>
        </w:tc>
        <w:tc>
          <w:tcPr>
            <w:tcW w:type="dxa" w:w="1872"/>
            <w:shd w:val="clear" w:color="auto" w:fill="F2F2F2"/>
          </w:tcPr>
          <w:p>
            <w:r/>
            <w:r>
              <w:rPr>
                <w:b/>
                <w:sz w:val="20"/>
              </w:rPr>
              <w:t>Days 31-60</w:t>
            </w:r>
          </w:p>
        </w:tc>
        <w:tc>
          <w:tcPr>
            <w:tcW w:type="dxa" w:w="1872"/>
            <w:shd w:val="clear" w:color="auto" w:fill="F2F2F2"/>
          </w:tcPr>
          <w:p>
            <w:r/>
            <w:r>
              <w:rPr>
                <w:b/>
                <w:sz w:val="20"/>
              </w:rPr>
              <w:t>Days 61-90</w:t>
            </w:r>
          </w:p>
        </w:tc>
      </w:tr>
      <w:tr>
        <w:tc>
          <w:tcPr>
            <w:tcW w:type="dxa" w:w="1872"/>
          </w:tcPr>
          <w:p>
            <w:r/>
            <w:r>
              <w:rPr>
                <w:b w:val="0"/>
                <w:i w:val="0"/>
                <w:sz w:val="20"/>
              </w:rPr>
              <w:t>First meetings held</w:t>
            </w:r>
          </w:p>
        </w:tc>
        <w:tc>
          <w:tcPr>
            <w:tcW w:type="dxa" w:w="1872"/>
          </w:tcPr>
          <w:p>
            <w:r/>
            <w:r>
              <w:rPr>
                <w:b w:val="0"/>
                <w:i w:val="0"/>
                <w:sz w:val="20"/>
              </w:rPr>
              <w:t>Weekly average</w:t>
            </w:r>
          </w:p>
        </w:tc>
        <w:tc>
          <w:tcPr>
            <w:tcW w:type="dxa" w:w="1872"/>
          </w:tcPr>
          <w:p>
            <w:r/>
            <w:r>
              <w:rPr>
                <w:b w:val="0"/>
                <w:i w:val="0"/>
                <w:sz w:val="20"/>
              </w:rPr>
              <w:t>6</w:t>
            </w:r>
          </w:p>
        </w:tc>
        <w:tc>
          <w:tcPr>
            <w:tcW w:type="dxa" w:w="1872"/>
          </w:tcPr>
          <w:p>
            <w:r/>
            <w:r>
              <w:rPr>
                <w:b w:val="0"/>
                <w:i w:val="0"/>
                <w:sz w:val="20"/>
              </w:rPr>
              <w:t>6</w:t>
            </w:r>
          </w:p>
        </w:tc>
        <w:tc>
          <w:tcPr>
            <w:tcW w:type="dxa" w:w="1872"/>
          </w:tcPr>
          <w:p>
            <w:r/>
            <w:r>
              <w:rPr>
                <w:b w:val="0"/>
                <w:i w:val="0"/>
                <w:sz w:val="20"/>
              </w:rPr>
              <w:t>6</w:t>
            </w:r>
          </w:p>
        </w:tc>
      </w:tr>
      <w:tr>
        <w:tc>
          <w:tcPr>
            <w:tcW w:type="dxa" w:w="1872"/>
          </w:tcPr>
          <w:p>
            <w:r/>
            <w:r>
              <w:rPr>
                <w:b w:val="0"/>
                <w:i w:val="0"/>
                <w:sz w:val="20"/>
              </w:rPr>
              <w:t>Discovery to qualified conversion</w:t>
            </w:r>
          </w:p>
        </w:tc>
        <w:tc>
          <w:tcPr>
            <w:tcW w:type="dxa" w:w="1872"/>
          </w:tcPr>
          <w:p>
            <w:r/>
            <w:r>
              <w:rPr>
                <w:b w:val="0"/>
                <w:i w:val="0"/>
                <w:sz w:val="20"/>
              </w:rPr>
              <w:t>Qualified opps / first meetings in the phase</w:t>
            </w:r>
          </w:p>
        </w:tc>
        <w:tc>
          <w:tcPr>
            <w:tcW w:type="dxa" w:w="1872"/>
          </w:tcPr>
          <w:p>
            <w:r/>
            <w:r>
              <w:rPr>
                <w:b w:val="0"/>
                <w:i w:val="0"/>
                <w:sz w:val="20"/>
              </w:rPr>
              <w:t>30%</w:t>
            </w:r>
          </w:p>
        </w:tc>
        <w:tc>
          <w:tcPr>
            <w:tcW w:type="dxa" w:w="1872"/>
          </w:tcPr>
          <w:p>
            <w:r/>
            <w:r>
              <w:rPr>
                <w:b w:val="0"/>
                <w:i w:val="0"/>
                <w:sz w:val="20"/>
              </w:rPr>
              <w:t>35%</w:t>
            </w:r>
          </w:p>
        </w:tc>
        <w:tc>
          <w:tcPr>
            <w:tcW w:type="dxa" w:w="1872"/>
          </w:tcPr>
          <w:p>
            <w:r/>
            <w:r>
              <w:rPr>
                <w:b w:val="0"/>
                <w:i w:val="0"/>
                <w:sz w:val="20"/>
              </w:rPr>
              <w:t>40%</w:t>
            </w:r>
          </w:p>
        </w:tc>
      </w:tr>
      <w:tr>
        <w:tc>
          <w:tcPr>
            <w:tcW w:type="dxa" w:w="1872"/>
          </w:tcPr>
          <w:p>
            <w:r/>
            <w:r>
              <w:rPr>
                <w:b w:val="0"/>
                <w:i w:val="0"/>
                <w:sz w:val="20"/>
              </w:rPr>
              <w:t>Qualified pipeline created</w:t>
            </w:r>
          </w:p>
        </w:tc>
        <w:tc>
          <w:tcPr>
            <w:tcW w:type="dxa" w:w="1872"/>
          </w:tcPr>
          <w:p>
            <w:r/>
            <w:r>
              <w:rPr>
                <w:b w:val="0"/>
                <w:i w:val="0"/>
                <w:sz w:val="20"/>
              </w:rPr>
              <w:t>Weekly average</w:t>
            </w:r>
          </w:p>
        </w:tc>
        <w:tc>
          <w:tcPr>
            <w:tcW w:type="dxa" w:w="1872"/>
          </w:tcPr>
          <w:p>
            <w:r/>
            <w:r>
              <w:rPr>
                <w:b w:val="0"/>
                <w:i w:val="0"/>
                <w:sz w:val="20"/>
              </w:rPr>
              <w:t>$37,500</w:t>
            </w:r>
          </w:p>
        </w:tc>
        <w:tc>
          <w:tcPr>
            <w:tcW w:type="dxa" w:w="1872"/>
          </w:tcPr>
          <w:p>
            <w:r/>
            <w:r>
              <w:rPr>
                <w:b w:val="0"/>
                <w:i w:val="0"/>
                <w:sz w:val="20"/>
              </w:rPr>
              <w:t>$37,500</w:t>
            </w:r>
          </w:p>
        </w:tc>
        <w:tc>
          <w:tcPr>
            <w:tcW w:type="dxa" w:w="1872"/>
          </w:tcPr>
          <w:p>
            <w:r/>
            <w:r>
              <w:rPr>
                <w:b w:val="0"/>
                <w:i w:val="0"/>
                <w:sz w:val="20"/>
              </w:rPr>
              <w:t>$37,500</w:t>
            </w:r>
          </w:p>
        </w:tc>
      </w:tr>
      <w:tr>
        <w:tc>
          <w:tcPr>
            <w:tcW w:type="dxa" w:w="1872"/>
          </w:tcPr>
          <w:p>
            <w:r/>
            <w:r>
              <w:rPr>
                <w:b w:val="0"/>
                <w:i w:val="0"/>
                <w:sz w:val="20"/>
              </w:rPr>
              <w:t>Stage advances on open deals</w:t>
            </w:r>
          </w:p>
        </w:tc>
        <w:tc>
          <w:tcPr>
            <w:tcW w:type="dxa" w:w="1872"/>
          </w:tcPr>
          <w:p>
            <w:r/>
            <w:r>
              <w:rPr>
                <w:b w:val="0"/>
                <w:i w:val="0"/>
                <w:sz w:val="20"/>
              </w:rPr>
              <w:t>Weekly average</w:t>
            </w:r>
          </w:p>
        </w:tc>
        <w:tc>
          <w:tcPr>
            <w:tcW w:type="dxa" w:w="1872"/>
          </w:tcPr>
          <w:p>
            <w:r/>
            <w:r>
              <w:rPr>
                <w:b w:val="0"/>
                <w:i w:val="0"/>
                <w:sz w:val="20"/>
              </w:rPr>
              <w:t>5</w:t>
            </w:r>
          </w:p>
        </w:tc>
        <w:tc>
          <w:tcPr>
            <w:tcW w:type="dxa" w:w="1872"/>
          </w:tcPr>
          <w:p>
            <w:r/>
            <w:r>
              <w:rPr>
                <w:b w:val="0"/>
                <w:i w:val="0"/>
                <w:sz w:val="20"/>
              </w:rPr>
              <w:t>5</w:t>
            </w:r>
          </w:p>
        </w:tc>
        <w:tc>
          <w:tcPr>
            <w:tcW w:type="dxa" w:w="1872"/>
          </w:tcPr>
          <w:p>
            <w:r/>
            <w:r>
              <w:rPr>
                <w:b w:val="0"/>
                <w:i w:val="0"/>
                <w:sz w:val="20"/>
              </w:rPr>
              <w:t>5</w:t>
            </w:r>
          </w:p>
        </w:tc>
      </w:tr>
      <w:tr>
        <w:tc>
          <w:tcPr>
            <w:tcW w:type="dxa" w:w="1872"/>
          </w:tcPr>
          <w:p>
            <w:r/>
            <w:r>
              <w:rPr>
                <w:b w:val="0"/>
                <w:i w:val="0"/>
                <w:sz w:val="20"/>
              </w:rPr>
              <w:t>Close-date pushes on current-quarter deals</w:t>
            </w:r>
          </w:p>
        </w:tc>
        <w:tc>
          <w:tcPr>
            <w:tcW w:type="dxa" w:w="1872"/>
          </w:tcPr>
          <w:p>
            <w:r/>
            <w:r>
              <w:rPr>
                <w:b w:val="0"/>
                <w:i w:val="0"/>
                <w:sz w:val="20"/>
              </w:rPr>
              <w:t>Weekly average, at most</w:t>
            </w:r>
          </w:p>
        </w:tc>
        <w:tc>
          <w:tcPr>
            <w:tcW w:type="dxa" w:w="1872"/>
          </w:tcPr>
          <w:p>
            <w:r/>
            <w:r>
              <w:rPr>
                <w:b w:val="0"/>
                <w:i w:val="0"/>
                <w:sz w:val="20"/>
              </w:rPr>
              <w:t>2</w:t>
            </w:r>
          </w:p>
        </w:tc>
        <w:tc>
          <w:tcPr>
            <w:tcW w:type="dxa" w:w="1872"/>
          </w:tcPr>
          <w:p>
            <w:r/>
            <w:r>
              <w:rPr>
                <w:b w:val="0"/>
                <w:i w:val="0"/>
                <w:sz w:val="20"/>
              </w:rPr>
              <w:t>2</w:t>
            </w:r>
          </w:p>
        </w:tc>
        <w:tc>
          <w:tcPr>
            <w:tcW w:type="dxa" w:w="1872"/>
          </w:tcPr>
          <w:p>
            <w:r/>
            <w:r>
              <w:rPr>
                <w:b w:val="0"/>
                <w:i w:val="0"/>
                <w:sz w:val="20"/>
              </w:rPr>
              <w:t>2</w:t>
            </w:r>
          </w:p>
        </w:tc>
      </w:tr>
      <w:tr>
        <w:tc>
          <w:tcPr>
            <w:tcW w:type="dxa" w:w="1872"/>
          </w:tcPr>
          <w:p>
            <w:r/>
            <w:r>
              <w:rPr>
                <w:b w:val="0"/>
                <w:i w:val="0"/>
                <w:sz w:val="20"/>
              </w:rPr>
              <w:t>Commit deals with no change in stage, close date or amount in 30 days</w:t>
            </w:r>
          </w:p>
        </w:tc>
        <w:tc>
          <w:tcPr>
            <w:tcW w:type="dxa" w:w="1872"/>
          </w:tcPr>
          <w:p>
            <w:r/>
            <w:r>
              <w:rPr>
                <w:b w:val="0"/>
                <w:i w:val="0"/>
                <w:sz w:val="20"/>
              </w:rPr>
              <w:t>Count at end of phase, at most</w:t>
            </w:r>
          </w:p>
        </w:tc>
        <w:tc>
          <w:tcPr>
            <w:tcW w:type="dxa" w:w="1872"/>
          </w:tcPr>
          <w:p>
            <w:r/>
            <w:r>
              <w:rPr>
                <w:b w:val="0"/>
                <w:i w:val="0"/>
                <w:sz w:val="20"/>
              </w:rPr>
              <w:t>0</w:t>
            </w:r>
          </w:p>
        </w:tc>
        <w:tc>
          <w:tcPr>
            <w:tcW w:type="dxa" w:w="1872"/>
          </w:tcPr>
          <w:p>
            <w:r/>
            <w:r>
              <w:rPr>
                <w:b w:val="0"/>
                <w:i w:val="0"/>
                <w:sz w:val="20"/>
              </w:rPr>
              <w:t>0</w:t>
            </w:r>
          </w:p>
        </w:tc>
        <w:tc>
          <w:tcPr>
            <w:tcW w:type="dxa" w:w="1872"/>
          </w:tcPr>
          <w:p>
            <w:r/>
            <w:r>
              <w:rPr>
                <w:b w:val="0"/>
                <w:i w:val="0"/>
                <w:sz w:val="20"/>
              </w:rPr>
              <w:t>0</w:t>
            </w:r>
          </w:p>
        </w:tc>
      </w:tr>
    </w:tbl>
    <w:p/>
    <w:p>
      <w:pPr>
        <w:pStyle w:val="Heading2"/>
      </w:pPr>
      <w:r>
        <w:t>Bookings bar and pacing</w:t>
      </w:r>
    </w:p>
    <w:p>
      <w:r>
        <w:rPr>
          <w:b w:val="0"/>
          <w:i w:val="0"/>
        </w:rPr>
        <w:t xml:space="preserve">Bookings bar for the 90 days: </w:t>
      </w:r>
      <w:r>
        <w:rPr>
          <w:b w:val="0"/>
          <w:i w:val="0"/>
        </w:rPr>
        <w:t>$110,000 of new ARR</w:t>
      </w:r>
      <w:r>
        <w:rPr>
          <w:b w:val="0"/>
          <w:i w:val="0"/>
        </w:rPr>
        <w:t>. This is the open qualified pipeline with a this-quarter close date on day 1 (</w:t>
      </w:r>
      <w:r>
        <w:rPr>
          <w:b w:val="0"/>
          <w:i w:val="0"/>
        </w:rPr>
        <w:t>$440,000</w:t>
      </w:r>
      <w:r>
        <w:rPr>
          <w:b w:val="0"/>
          <w:i w:val="0"/>
        </w:rPr>
        <w:t>) times the median rate at which peers in the same segment and tenure convert that pipeline inside the quarter (</w:t>
      </w:r>
      <w:r>
        <w:rPr>
          <w:b w:val="0"/>
          <w:i w:val="0"/>
        </w:rPr>
        <w:t>25%</w:t>
      </w:r>
      <w:r>
        <w:rPr>
          <w:b w:val="0"/>
          <w:i w:val="0"/>
        </w:rPr>
        <w:t>). At your trailing rate (</w:t>
      </w:r>
      <w:r>
        <w:rPr>
          <w:b w:val="0"/>
          <w:i w:val="0"/>
        </w:rPr>
        <w:t>18%</w:t>
      </w:r>
      <w:r>
        <w:rPr>
          <w:b w:val="0"/>
          <w:i w:val="0"/>
        </w:rPr>
        <w:t xml:space="preserve">) the same pipeline would produce </w:t>
      </w:r>
      <w:r>
        <w:rPr>
          <w:b w:val="0"/>
          <w:i w:val="0"/>
        </w:rPr>
        <w:t>$79,200</w:t>
      </w:r>
      <w:r>
        <w:rPr>
          <w:b w:val="0"/>
          <w:i w:val="0"/>
        </w:rPr>
        <w:t>.</w:t>
      </w:r>
    </w:p>
    <w:p>
      <w:r>
        <w:rPr>
          <w:b w:val="0"/>
          <w:i w:val="0"/>
        </w:rPr>
        <w:t xml:space="preserve">Pace checkpoints, based on </w:t>
      </w:r>
      <w:r>
        <w:rPr>
          <w:b w:val="0"/>
          <w:i w:val="0"/>
        </w:rPr>
        <w:t>the team's 13-week bookings curve</w:t>
      </w:r>
      <w:r>
        <w:rPr>
          <w:b w:val="0"/>
          <w:i w:val="0"/>
        </w:rPr>
        <w:t xml:space="preserve">: </w:t>
      </w:r>
      <w:r>
        <w:rPr>
          <w:b w:val="0"/>
          <w:i w:val="0"/>
        </w:rPr>
        <w:t>$23,118 by day 30</w:t>
      </w:r>
      <w:r>
        <w:rPr>
          <w:b w:val="0"/>
          <w:i w:val="0"/>
        </w:rPr>
        <w:t xml:space="preserve">, </w:t>
      </w:r>
      <w:r>
        <w:rPr>
          <w:b w:val="0"/>
          <w:i w:val="0"/>
        </w:rPr>
        <w:t>$54,704 by day 60</w:t>
      </w:r>
      <w:r>
        <w:rPr>
          <w:b w:val="0"/>
          <w:i w:val="0"/>
        </w:rPr>
        <w:t xml:space="preserve"> and </w:t>
      </w:r>
      <w:r>
        <w:rPr>
          <w:b w:val="0"/>
          <w:i w:val="0"/>
        </w:rPr>
        <w:t>$110,000 by day 90</w:t>
      </w:r>
      <w:r>
        <w:rPr>
          <w:b w:val="0"/>
          <w:i w:val="0"/>
        </w:rPr>
        <w:t>.</w:t>
      </w:r>
    </w:p>
    <w:p>
      <w:r>
        <w:rPr>
          <w:b w:val="0"/>
          <w:i/>
          <w:color w:val="555555"/>
          <w:sz w:val="19"/>
        </w:rPr>
        <w:t>Drafting note: the bar measures conversion on the rep's own pipeline, so territory luck drops out. If the bar is far below quota, the shortfall is pipeline supply, which the pipeline-created indicator covers. Do not set the bar at full quota for a 90-day plan: when the sales cycle runs 60 days or more, a deal created inside the window has little time to close.</w:t>
      </w:r>
    </w:p>
    <w:p>
      <w:pPr>
        <w:pStyle w:val="Heading1"/>
      </w:pPr>
      <w:r>
        <w:t>5. Support the company will provide</w:t>
      </w:r>
    </w:p>
    <w:tbl>
      <w:tblPr>
        <w:tblStyle w:val="TableGrid"/>
        <w:tblW w:type="auto" w:w="0"/>
        <w:tblLook w:firstColumn="1" w:firstRow="1" w:lastColumn="0" w:lastRow="0" w:noHBand="0" w:noVBand="1" w:val="04A0"/>
      </w:tblPr>
      <w:tblGrid>
        <w:gridCol w:w="3120"/>
        <w:gridCol w:w="3120"/>
        <w:gridCol w:w="3120"/>
      </w:tblGrid>
      <w:tr>
        <w:tc>
          <w:tcPr>
            <w:tcW w:type="dxa" w:w="3120"/>
            <w:shd w:val="clear" w:color="auto" w:fill="F2F2F2"/>
          </w:tcPr>
          <w:p>
            <w:r/>
            <w:r>
              <w:rPr>
                <w:b/>
                <w:sz w:val="20"/>
              </w:rPr>
              <w:t>Support</w:t>
            </w:r>
          </w:p>
        </w:tc>
        <w:tc>
          <w:tcPr>
            <w:tcW w:type="dxa" w:w="3120"/>
            <w:shd w:val="clear" w:color="auto" w:fill="F2F2F2"/>
          </w:tcPr>
          <w:p>
            <w:r/>
            <w:r>
              <w:rPr>
                <w:b/>
                <w:sz w:val="20"/>
              </w:rPr>
              <w:t>Owner</w:t>
            </w:r>
          </w:p>
        </w:tc>
        <w:tc>
          <w:tcPr>
            <w:tcW w:type="dxa" w:w="3120"/>
            <w:shd w:val="clear" w:color="auto" w:fill="F2F2F2"/>
          </w:tcPr>
          <w:p>
            <w:r/>
            <w:r>
              <w:rPr>
                <w:b/>
                <w:sz w:val="20"/>
              </w:rPr>
              <w:t>When</w:t>
            </w:r>
          </w:p>
        </w:tc>
      </w:tr>
      <w:tr>
        <w:tc>
          <w:tcPr>
            <w:tcW w:type="dxa" w:w="3120"/>
          </w:tcPr>
          <w:p>
            <w:r/>
            <w:r>
              <w:rPr>
                <w:b w:val="0"/>
                <w:i w:val="0"/>
                <w:sz w:val="20"/>
              </w:rPr>
              <w:t>Discovery call review: two recorded calls a week, scored against the team's discovery checklist</w:t>
            </w:r>
          </w:p>
        </w:tc>
        <w:tc>
          <w:tcPr>
            <w:tcW w:type="dxa" w:w="3120"/>
          </w:tcPr>
          <w:p>
            <w:r/>
            <w:r>
              <w:rPr>
                <w:b w:val="0"/>
                <w:i w:val="0"/>
                <w:sz w:val="20"/>
              </w:rPr>
              <w:t>Manager</w:t>
            </w:r>
          </w:p>
        </w:tc>
        <w:tc>
          <w:tcPr>
            <w:tcW w:type="dxa" w:w="3120"/>
          </w:tcPr>
          <w:p>
            <w:r/>
            <w:r>
              <w:rPr>
                <w:b w:val="0"/>
                <w:i w:val="0"/>
                <w:sz w:val="20"/>
              </w:rPr>
              <w:t>Weekly, days 1-60</w:t>
            </w:r>
          </w:p>
        </w:tc>
      </w:tr>
      <w:tr>
        <w:tc>
          <w:tcPr>
            <w:tcW w:type="dxa" w:w="3120"/>
          </w:tcPr>
          <w:p>
            <w:r/>
            <w:r>
              <w:rPr>
                <w:b w:val="0"/>
                <w:i w:val="0"/>
                <w:sz w:val="20"/>
              </w:rPr>
              <w:t>Ride-along with a peer AE on three first meetings</w:t>
            </w:r>
          </w:p>
        </w:tc>
        <w:tc>
          <w:tcPr>
            <w:tcW w:type="dxa" w:w="3120"/>
          </w:tcPr>
          <w:p>
            <w:r/>
            <w:r>
              <w:rPr>
                <w:b w:val="0"/>
                <w:i w:val="0"/>
                <w:sz w:val="20"/>
              </w:rPr>
              <w:t>Peer AE named by manager</w:t>
            </w:r>
          </w:p>
        </w:tc>
        <w:tc>
          <w:tcPr>
            <w:tcW w:type="dxa" w:w="3120"/>
          </w:tcPr>
          <w:p>
            <w:r/>
            <w:r>
              <w:rPr>
                <w:b w:val="0"/>
                <w:i w:val="0"/>
                <w:sz w:val="20"/>
              </w:rPr>
              <w:t>Days 1-30</w:t>
            </w:r>
          </w:p>
        </w:tc>
      </w:tr>
      <w:tr>
        <w:tc>
          <w:tcPr>
            <w:tcW w:type="dxa" w:w="3120"/>
          </w:tcPr>
          <w:p>
            <w:r/>
            <w:r>
              <w:rPr>
                <w:b w:val="0"/>
                <w:i w:val="0"/>
                <w:sz w:val="20"/>
              </w:rPr>
              <w:t>Deal review on every Commit deal before it is submitted</w:t>
            </w:r>
          </w:p>
        </w:tc>
        <w:tc>
          <w:tcPr>
            <w:tcW w:type="dxa" w:w="3120"/>
          </w:tcPr>
          <w:p>
            <w:r/>
            <w:r>
              <w:rPr>
                <w:b w:val="0"/>
                <w:i w:val="0"/>
                <w:sz w:val="20"/>
              </w:rPr>
              <w:t>Manager</w:t>
            </w:r>
          </w:p>
        </w:tc>
        <w:tc>
          <w:tcPr>
            <w:tcW w:type="dxa" w:w="3120"/>
          </w:tcPr>
          <w:p>
            <w:r/>
            <w:r>
              <w:rPr>
                <w:b w:val="0"/>
                <w:i w:val="0"/>
                <w:sz w:val="20"/>
              </w:rPr>
              <w:t>Weekly, before the forecast call</w:t>
            </w:r>
          </w:p>
        </w:tc>
      </w:tr>
      <w:tr>
        <w:tc>
          <w:tcPr>
            <w:tcW w:type="dxa" w:w="3120"/>
          </w:tcPr>
          <w:p>
            <w:r/>
            <w:r>
              <w:rPr>
                <w:b w:val="0"/>
                <w:i w:val="0"/>
                <w:sz w:val="20"/>
              </w:rPr>
              <w:t>Qualification training module and certification</w:t>
            </w:r>
          </w:p>
        </w:tc>
        <w:tc>
          <w:tcPr>
            <w:tcW w:type="dxa" w:w="3120"/>
          </w:tcPr>
          <w:p>
            <w:r/>
            <w:r>
              <w:rPr>
                <w:b w:val="0"/>
                <w:i w:val="0"/>
                <w:sz w:val="20"/>
              </w:rPr>
              <w:t>Sales enablement</w:t>
            </w:r>
          </w:p>
        </w:tc>
        <w:tc>
          <w:tcPr>
            <w:tcW w:type="dxa" w:w="3120"/>
          </w:tcPr>
          <w:p>
            <w:r/>
            <w:r>
              <w:rPr>
                <w:b w:val="0"/>
                <w:i w:val="0"/>
                <w:sz w:val="20"/>
              </w:rPr>
              <w:t>Complete by day 21</w:t>
            </w:r>
          </w:p>
        </w:tc>
      </w:tr>
    </w:tbl>
    <w:p/>
    <w:p>
      <w:pPr>
        <w:pStyle w:val="Heading1"/>
      </w:pPr>
      <w:r>
        <w:t>6. How progress is reviewed</w:t>
      </w:r>
    </w:p>
    <w:p>
      <w:pPr>
        <w:pStyle w:val="ListBullet"/>
      </w:pPr>
      <w:r>
        <w:rPr>
          <w:b w:val="0"/>
          <w:i w:val="0"/>
        </w:rPr>
        <w:t>Weekly: in the PIP check-in, we review the last week's numbers from the tracker and agree one change for the coming week. Both of us can add comments to the weekly notes.</w:t>
      </w:r>
    </w:p>
    <w:p>
      <w:pPr>
        <w:pStyle w:val="ListBullet"/>
      </w:pPr>
      <w:r>
        <w:rPr>
          <w:b w:val="0"/>
          <w:i w:val="0"/>
        </w:rPr>
        <w:t xml:space="preserve">Day 30 and day 60: a checkpoint review with </w:t>
      </w:r>
      <w:r>
        <w:rPr>
          <w:b w:val="0"/>
          <w:i w:val="0"/>
        </w:rPr>
        <w:t>the manager and the HR partner</w:t>
      </w:r>
      <w:r>
        <w:rPr>
          <w:b w:val="0"/>
          <w:i w:val="0"/>
        </w:rPr>
        <w:t xml:space="preserve">. You get the written result, Met or Missed per indicator and bookings against pace, within </w:t>
      </w:r>
      <w:r>
        <w:rPr>
          <w:b w:val="0"/>
          <w:i w:val="0"/>
        </w:rPr>
        <w:t>two business days</w:t>
      </w:r>
      <w:r>
        <w:rPr>
          <w:b w:val="0"/>
          <w:i w:val="0"/>
        </w:rPr>
        <w:t>.</w:t>
      </w:r>
    </w:p>
    <w:p>
      <w:pPr>
        <w:pStyle w:val="ListBullet"/>
      </w:pPr>
      <w:r>
        <w:rPr>
          <w:b w:val="0"/>
          <w:i w:val="0"/>
        </w:rPr>
        <w:t>Day 90: the final review against the decision rules in Section 7.</w:t>
      </w:r>
    </w:p>
    <w:p>
      <w:pPr>
        <w:pStyle w:val="Heading1"/>
      </w:pPr>
      <w:r>
        <w:t>7. Outcomes</w:t>
      </w:r>
    </w:p>
    <w:tbl>
      <w:tblPr>
        <w:tblStyle w:val="TableGrid"/>
        <w:tblW w:type="auto" w:w="0"/>
        <w:tblLook w:firstColumn="1" w:firstRow="1" w:lastColumn="0" w:lastRow="0" w:noHBand="0" w:noVBand="1" w:val="04A0"/>
      </w:tblPr>
      <w:tblGrid>
        <w:gridCol w:w="4680"/>
        <w:gridCol w:w="4680"/>
      </w:tblGrid>
      <w:tr>
        <w:tc>
          <w:tcPr>
            <w:tcW w:type="dxa" w:w="4680"/>
            <w:shd w:val="clear" w:color="auto" w:fill="F2F2F2"/>
          </w:tcPr>
          <w:p>
            <w:r/>
            <w:r>
              <w:rPr>
                <w:b/>
                <w:sz w:val="20"/>
              </w:rPr>
              <w:t>Result at day 90</w:t>
            </w:r>
          </w:p>
        </w:tc>
        <w:tc>
          <w:tcPr>
            <w:tcW w:type="dxa" w:w="4680"/>
            <w:shd w:val="clear" w:color="auto" w:fill="F2F2F2"/>
          </w:tcPr>
          <w:p>
            <w:r/>
            <w:r>
              <w:rPr>
                <w:b/>
                <w:sz w:val="20"/>
              </w:rPr>
              <w:t>Outcome</w:t>
            </w:r>
          </w:p>
        </w:tc>
      </w:tr>
      <w:tr>
        <w:tc>
          <w:tcPr>
            <w:tcW w:type="dxa" w:w="4680"/>
          </w:tcPr>
          <w:p>
            <w:r/>
            <w:r>
              <w:rPr>
                <w:b w:val="0"/>
                <w:i w:val="0"/>
                <w:sz w:val="20"/>
              </w:rPr>
              <w:t xml:space="preserve">All six leading indicators met in days 61-90 and bookings at or above </w:t>
            </w:r>
            <w:r>
              <w:rPr>
                <w:b w:val="0"/>
                <w:i w:val="0"/>
                <w:sz w:val="20"/>
              </w:rPr>
              <w:t>90%</w:t>
            </w:r>
            <w:r>
              <w:rPr>
                <w:b w:val="0"/>
                <w:i w:val="0"/>
                <w:sz w:val="20"/>
              </w:rPr>
              <w:t xml:space="preserve"> of the bar</w:t>
            </w:r>
          </w:p>
        </w:tc>
        <w:tc>
          <w:tcPr>
            <w:tcW w:type="dxa" w:w="4680"/>
          </w:tcPr>
          <w:p>
            <w:r/>
            <w:r>
              <w:rPr>
                <w:b w:val="0"/>
                <w:i w:val="0"/>
                <w:sz w:val="20"/>
              </w:rPr>
              <w:t>Plan met. Back to the normal one-on-one cadence.</w:t>
            </w:r>
          </w:p>
        </w:tc>
      </w:tr>
      <w:tr>
        <w:tc>
          <w:tcPr>
            <w:tcW w:type="dxa" w:w="4680"/>
          </w:tcPr>
          <w:p>
            <w:r/>
            <w:r>
              <w:rPr>
                <w:b w:val="0"/>
                <w:i w:val="0"/>
                <w:sz w:val="20"/>
              </w:rPr>
              <w:t xml:space="preserve">All six leading indicators met in days 61-90, bookings below </w:t>
            </w:r>
            <w:r>
              <w:rPr>
                <w:b w:val="0"/>
                <w:i w:val="0"/>
                <w:sz w:val="20"/>
              </w:rPr>
              <w:t>90%</w:t>
            </w:r>
            <w:r>
              <w:rPr>
                <w:b w:val="0"/>
                <w:i w:val="0"/>
                <w:sz w:val="20"/>
              </w:rPr>
              <w:t xml:space="preserve"> of the bar</w:t>
            </w:r>
          </w:p>
        </w:tc>
        <w:tc>
          <w:tcPr>
            <w:tcW w:type="dxa" w:w="4680"/>
          </w:tcPr>
          <w:p>
            <w:r/>
            <w:r>
              <w:rPr>
                <w:b w:val="0"/>
                <w:i w:val="0"/>
                <w:sz w:val="20"/>
              </w:rPr>
              <w:t>The plan may be extended once, by 30 days, with bookings as the only open item.</w:t>
            </w:r>
          </w:p>
        </w:tc>
      </w:tr>
      <w:tr>
        <w:tc>
          <w:tcPr>
            <w:tcW w:type="dxa" w:w="4680"/>
          </w:tcPr>
          <w:p>
            <w:r/>
            <w:r>
              <w:rPr>
                <w:b w:val="0"/>
                <w:i w:val="0"/>
                <w:sz w:val="20"/>
              </w:rPr>
              <w:t>Any leading indicator missed in days 61-90</w:t>
            </w:r>
          </w:p>
        </w:tc>
        <w:tc>
          <w:tcPr>
            <w:tcW w:type="dxa" w:w="4680"/>
          </w:tcPr>
          <w:p>
            <w:r/>
            <w:r>
              <w:rPr>
                <w:b w:val="0"/>
                <w:i w:val="0"/>
                <w:sz w:val="20"/>
              </w:rPr>
              <w:t>The plan is not met. The company will decide next steps, which may include a change of role or termination of employment.</w:t>
            </w:r>
          </w:p>
        </w:tc>
      </w:tr>
    </w:tbl>
    <w:p/>
    <w:p>
      <w:r>
        <w:rPr>
          <w:b w:val="0"/>
          <w:i w:val="0"/>
        </w:rPr>
        <w:t xml:space="preserve">Your commission plan and quota do not change during this plan. Commission is earned and paid under </w:t>
      </w:r>
      <w:r>
        <w:rPr>
          <w:b w:val="0"/>
          <w:i w:val="0"/>
        </w:rPr>
        <w:t>your 2027 sales compensation plan</w:t>
      </w:r>
      <w:r>
        <w:rPr>
          <w:b w:val="0"/>
          <w:i w:val="0"/>
        </w:rPr>
        <w:t>.</w:t>
      </w:r>
    </w:p>
    <w:p>
      <w:r>
        <w:rPr>
          <w:b w:val="0"/>
          <w:i w:val="0"/>
        </w:rPr>
        <w:t>Nothing in this plan changes the at-will nature of your employment or promises employment for any period, and the company may act before the plan ends if circumstances require it.</w:t>
      </w:r>
    </w:p>
    <w:p>
      <w:r>
        <w:rPr>
          <w:b w:val="0"/>
          <w:i/>
          <w:color w:val="555555"/>
          <w:sz w:val="19"/>
        </w:rPr>
        <w:t>Drafting note: the employment status line depends on the state or country and on any contract. Write or delete it with counsel.</w:t>
      </w:r>
    </w:p>
    <w:p>
      <w:pPr>
        <w:pStyle w:val="Heading1"/>
      </w:pPr>
      <w:r>
        <w:t>8. Employee comments</w:t>
      </w:r>
    </w:p>
    <w:p>
      <w:r>
        <w:rPr>
          <w:b w:val="0"/>
          <w:i w:val="0"/>
        </w:rPr>
        <w:t>You may add comments here or attach a written response. Your comments become part of this plan.</w:t>
      </w:r>
    </w:p>
    <w:p>
      <w:r>
        <w:rPr>
          <w:b w:val="0"/>
          <w:i w:val="0"/>
        </w:rPr>
        <w:t>______________________________________________________________________________</w:t>
      </w:r>
    </w:p>
    <w:p>
      <w:r>
        <w:rPr>
          <w:b w:val="0"/>
          <w:i w:val="0"/>
        </w:rPr>
        <w:t>______________________________________________________________________________</w:t>
      </w:r>
    </w:p>
    <w:p>
      <w:pPr>
        <w:pStyle w:val="Heading1"/>
      </w:pPr>
      <w:r>
        <w:t>9. Acknowledgment</w:t>
      </w:r>
    </w:p>
    <w:p>
      <w:r>
        <w:rPr>
          <w:b w:val="0"/>
          <w:i w:val="0"/>
        </w:rPr>
        <w:t>Signing confirms that you received this plan and that it was discussed with you. It does not mean you agree with it.</w:t>
      </w:r>
    </w:p>
    <w:tbl>
      <w:tblPr>
        <w:tblStyle w:val="TableGrid"/>
        <w:tblW w:type="auto" w:w="0"/>
        <w:tblLook w:firstColumn="1" w:firstRow="1" w:lastColumn="0" w:lastRow="0" w:noHBand="0" w:noVBand="1" w:val="04A0"/>
      </w:tblPr>
      <w:tblGrid>
        <w:gridCol w:w="4680"/>
        <w:gridCol w:w="4680"/>
      </w:tblGrid>
      <w:tr>
        <w:tc>
          <w:tcPr>
            <w:tcW w:type="dxa" w:w="4680"/>
          </w:tcPr>
          <w:p>
            <w:r/>
            <w:r>
              <w:rPr>
                <w:b/>
                <w:i w:val="0"/>
              </w:rPr>
              <w:t>EMPLOYEE</w:t>
            </w:r>
          </w:p>
        </w:tc>
        <w:tc>
          <w:tcPr>
            <w:tcW w:type="dxa" w:w="4680"/>
          </w:tcPr>
          <w:p>
            <w:r/>
            <w:r>
              <w:rPr>
                <w:b/>
                <w:i w:val="0"/>
              </w:rPr>
              <w:t>MANAGER</w:t>
            </w:r>
          </w:p>
        </w:tc>
      </w:tr>
      <w:tr>
        <w:tc>
          <w:tcPr>
            <w:tcW w:type="dxa" w:w="4680"/>
          </w:tcPr>
          <w:p>
            <w:r/>
            <w:r>
              <w:rPr>
                <w:b w:val="0"/>
                <w:i w:val="0"/>
              </w:rPr>
              <w:t>Sample Rep</w:t>
            </w:r>
          </w:p>
        </w:tc>
        <w:tc>
          <w:tcPr>
            <w:tcW w:type="dxa" w:w="4680"/>
          </w:tcPr>
          <w:p>
            <w:r/>
            <w:r>
              <w:rPr>
                <w:b w:val="0"/>
                <w:i w:val="0"/>
              </w:rPr>
              <w:t>Sample Manager</w:t>
            </w:r>
          </w:p>
        </w:tc>
      </w:tr>
      <w:tr>
        <w:tc>
          <w:tcPr>
            <w:tcW w:type="dxa" w:w="4680"/>
          </w:tcPr>
          <w:p>
            <w:r/>
            <w:r>
              <w:rPr>
                <w:b w:val="0"/>
                <w:i w:val="0"/>
              </w:rPr>
              <w:t>Signature: ____________________</w:t>
            </w:r>
          </w:p>
        </w:tc>
        <w:tc>
          <w:tcPr>
            <w:tcW w:type="dxa" w:w="4680"/>
          </w:tcPr>
          <w:p>
            <w:r/>
            <w:r>
              <w:rPr>
                <w:b w:val="0"/>
                <w:i w:val="0"/>
              </w:rPr>
              <w:t>Signature: ____________________</w:t>
            </w:r>
          </w:p>
        </w:tc>
      </w:tr>
      <w:tr>
        <w:tc>
          <w:tcPr>
            <w:tcW w:type="dxa" w:w="4680"/>
          </w:tcPr>
          <w:p>
            <w:r/>
            <w:r>
              <w:rPr>
                <w:b w:val="0"/>
                <w:i w:val="0"/>
              </w:rPr>
              <w:t>Date: ____________</w:t>
            </w:r>
          </w:p>
        </w:tc>
        <w:tc>
          <w:tcPr>
            <w:tcW w:type="dxa" w:w="4680"/>
          </w:tcPr>
          <w:p>
            <w:r/>
            <w:r>
              <w:rPr>
                <w:b w:val="0"/>
                <w:i w:val="0"/>
              </w:rPr>
              <w:t>Date: ____________</w:t>
            </w:r>
          </w:p>
        </w:tc>
      </w:tr>
    </w:tbl>
    <w:p/>
    <w:p>
      <w:r>
        <w:br w:type="page"/>
      </w:r>
    </w:p>
    <w:p>
      <w:pPr>
        <w:pStyle w:val="Heading1"/>
      </w:pPr>
      <w:r>
        <w:t>Appendix: checkpoint record</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shd w:val="clear" w:color="auto" w:fill="F2F2F2"/>
          </w:tcPr>
          <w:p>
            <w:r/>
            <w:r>
              <w:rPr>
                <w:b/>
                <w:sz w:val="20"/>
              </w:rPr>
              <w:t>Checkpoint</w:t>
            </w:r>
          </w:p>
        </w:tc>
        <w:tc>
          <w:tcPr>
            <w:tcW w:type="dxa" w:w="1872"/>
            <w:shd w:val="clear" w:color="auto" w:fill="F2F2F2"/>
          </w:tcPr>
          <w:p>
            <w:r/>
            <w:r>
              <w:rPr>
                <w:b/>
                <w:sz w:val="20"/>
              </w:rPr>
              <w:t>Leading indicators met (of 6)</w:t>
            </w:r>
          </w:p>
        </w:tc>
        <w:tc>
          <w:tcPr>
            <w:tcW w:type="dxa" w:w="1872"/>
            <w:shd w:val="clear" w:color="auto" w:fill="F2F2F2"/>
          </w:tcPr>
          <w:p>
            <w:r/>
            <w:r>
              <w:rPr>
                <w:b/>
                <w:sz w:val="20"/>
              </w:rPr>
              <w:t>Bookings to date / pace</w:t>
            </w:r>
          </w:p>
        </w:tc>
        <w:tc>
          <w:tcPr>
            <w:tcW w:type="dxa" w:w="1872"/>
            <w:shd w:val="clear" w:color="auto" w:fill="F2F2F2"/>
          </w:tcPr>
          <w:p>
            <w:r/>
            <w:r>
              <w:rPr>
                <w:b/>
                <w:sz w:val="20"/>
              </w:rPr>
              <w:t>Status</w:t>
            </w:r>
          </w:p>
        </w:tc>
        <w:tc>
          <w:tcPr>
            <w:tcW w:type="dxa" w:w="1872"/>
            <w:shd w:val="clear" w:color="auto" w:fill="F2F2F2"/>
          </w:tcPr>
          <w:p>
            <w:r/>
            <w:r>
              <w:rPr>
                <w:b/>
                <w:sz w:val="20"/>
              </w:rPr>
              <w:t>Notes</w:t>
            </w:r>
          </w:p>
        </w:tc>
      </w:tr>
      <w:tr>
        <w:tc>
          <w:tcPr>
            <w:tcW w:type="dxa" w:w="1872"/>
          </w:tcPr>
          <w:p>
            <w:r/>
            <w:r>
              <w:rPr>
                <w:b w:val="0"/>
                <w:i w:val="0"/>
                <w:sz w:val="20"/>
              </w:rPr>
              <w:t>Day 30</w:t>
            </w:r>
          </w:p>
        </w:tc>
        <w:tc>
          <w:tcPr>
            <w:tcW w:type="dxa" w:w="1872"/>
          </w:tcPr>
          <w:p>
            <w:r/>
            <w:r>
              <w:rPr>
                <w:b w:val="0"/>
                <w:i w:val="0"/>
                <w:sz w:val="20"/>
              </w:rPr>
              <w:t>4 (conversion 29.2% and pipeline $32,000 a week missed)</w:t>
            </w:r>
          </w:p>
        </w:tc>
        <w:tc>
          <w:tcPr>
            <w:tcW w:type="dxa" w:w="1872"/>
          </w:tcPr>
          <w:p>
            <w:r/>
            <w:r>
              <w:rPr>
                <w:b w:val="0"/>
                <w:i w:val="0"/>
                <w:sz w:val="20"/>
              </w:rPr>
              <w:t>$20,000 / $23,118 (87%)</w:t>
            </w:r>
          </w:p>
        </w:tc>
        <w:tc>
          <w:tcPr>
            <w:tcW w:type="dxa" w:w="1872"/>
          </w:tcPr>
          <w:p>
            <w:r/>
            <w:r>
              <w:rPr>
                <w:b w:val="0"/>
                <w:i w:val="0"/>
                <w:sz w:val="20"/>
              </w:rPr>
              <w:t>Partly on track</w:t>
            </w:r>
          </w:p>
        </w:tc>
        <w:tc>
          <w:tcPr>
            <w:tcW w:type="dxa" w:w="1872"/>
          </w:tcPr>
          <w:p>
            <w:r/>
            <w:r>
              <w:rPr>
                <w:b w:val="0"/>
                <w:i w:val="0"/>
                <w:sz w:val="20"/>
              </w:rPr>
              <w:t>Conversion close to target. Pipeline short in week 1.</w:t>
            </w:r>
          </w:p>
        </w:tc>
      </w:tr>
      <w:tr>
        <w:tc>
          <w:tcPr>
            <w:tcW w:type="dxa" w:w="1872"/>
          </w:tcPr>
          <w:p>
            <w:r/>
            <w:r>
              <w:rPr>
                <w:b w:val="0"/>
                <w:i w:val="0"/>
                <w:sz w:val="20"/>
              </w:rPr>
              <w:t>Day 60</w:t>
            </w:r>
          </w:p>
        </w:tc>
        <w:tc>
          <w:tcPr>
            <w:tcW w:type="dxa" w:w="1872"/>
          </w:tcPr>
          <w:p>
            <w:r/>
            <w:r>
              <w:rPr>
                <w:b w:val="0"/>
                <w:i w:val="0"/>
                <w:sz w:val="20"/>
              </w:rPr>
              <w:t>6</w:t>
            </w:r>
          </w:p>
        </w:tc>
        <w:tc>
          <w:tcPr>
            <w:tcW w:type="dxa" w:w="1872"/>
          </w:tcPr>
          <w:p>
            <w:r/>
            <w:r>
              <w:rPr>
                <w:b w:val="0"/>
                <w:i w:val="0"/>
                <w:sz w:val="20"/>
              </w:rPr>
              <w:t>$58,000 / $54,704 (106%)</w:t>
            </w:r>
          </w:p>
        </w:tc>
        <w:tc>
          <w:tcPr>
            <w:tcW w:type="dxa" w:w="1872"/>
          </w:tcPr>
          <w:p>
            <w:r/>
            <w:r>
              <w:rPr>
                <w:b w:val="0"/>
                <w:i w:val="0"/>
                <w:sz w:val="20"/>
              </w:rPr>
              <w:t>On track</w:t>
            </w:r>
          </w:p>
        </w:tc>
        <w:tc>
          <w:tcPr>
            <w:tcW w:type="dxa" w:w="1872"/>
          </w:tcPr>
          <w:p>
            <w:r/>
            <w:r>
              <w:rPr>
                <w:b w:val="0"/>
                <w:i w:val="0"/>
                <w:sz w:val="20"/>
              </w:rPr>
              <w:t>Conversion 36%.</w:t>
            </w:r>
          </w:p>
        </w:tc>
      </w:tr>
      <w:tr>
        <w:tc>
          <w:tcPr>
            <w:tcW w:type="dxa" w:w="1872"/>
          </w:tcPr>
          <w:p>
            <w:r/>
            <w:r>
              <w:rPr>
                <w:b w:val="0"/>
                <w:i w:val="0"/>
                <w:sz w:val="20"/>
              </w:rPr>
              <w:t>Day 90</w:t>
            </w:r>
          </w:p>
        </w:tc>
        <w:tc>
          <w:tcPr>
            <w:tcW w:type="dxa" w:w="1872"/>
          </w:tcPr>
          <w:p>
            <w:r/>
            <w:r>
              <w:rPr>
                <w:b w:val="0"/>
                <w:i w:val="0"/>
                <w:sz w:val="20"/>
              </w:rPr>
              <w:t>6</w:t>
            </w:r>
          </w:p>
        </w:tc>
        <w:tc>
          <w:tcPr>
            <w:tcW w:type="dxa" w:w="1872"/>
          </w:tcPr>
          <w:p>
            <w:r/>
            <w:r>
              <w:rPr>
                <w:b w:val="0"/>
                <w:i w:val="0"/>
                <w:sz w:val="20"/>
              </w:rPr>
              <w:t>$104,000 / $110,000 (95% of the bar)</w:t>
            </w:r>
          </w:p>
        </w:tc>
        <w:tc>
          <w:tcPr>
            <w:tcW w:type="dxa" w:w="1872"/>
          </w:tcPr>
          <w:p>
            <w:r/>
            <w:r>
              <w:rPr>
                <w:b w:val="0"/>
                <w:i w:val="0"/>
                <w:sz w:val="20"/>
              </w:rPr>
              <w:t>Plan met</w:t>
            </w:r>
          </w:p>
        </w:tc>
        <w:tc>
          <w:tcPr>
            <w:tcW w:type="dxa" w:w="1872"/>
          </w:tcPr>
          <w:p>
            <w:r/>
            <w:r>
              <w:rPr>
                <w:b w:val="0"/>
                <w:i w:val="0"/>
                <w:sz w:val="20"/>
              </w:rPr>
              <w:t>Conversion 43.3%. Back to normal cadence.</w:t>
            </w:r>
          </w:p>
        </w:tc>
      </w:tr>
    </w:tbl>
    <w:p/>
    <w:p>
      <w:r>
        <w:rPr>
          <w:b w:val="0"/>
          <w:i/>
        </w:rPr>
        <w:t>Example values in this file are illustrative only. Sample Rep, Sample Manager and Sample HR Partner are made up.</w:t>
      </w:r>
    </w:p>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6"/>
      </w:rPr>
      <w:t>Template from orm-tech.com/blog/sales-performance-improvement-plan/. Not legal or HR advice: check with HR and employment counsel before use.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A1A1A"/>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A1A1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A1A1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Performance Improvement Plan Template (example)</dc:title>
  <dc:subject/>
  <dc:creator>ORM Technologies</dc:creator>
  <cp:keywords/>
  <dc:description>Not legal or HR advice. Check with HR and employment counsel before use. orm-tech.com/blog/sales-performance-improvement-plan/</dc:description>
  <cp:lastModifiedBy/>
  <cp:revision>1</cp:revision>
  <dcterms:created xsi:type="dcterms:W3CDTF">2013-12-23T23:15:00Z</dcterms:created>
  <dcterms:modified xsi:type="dcterms:W3CDTF">2013-12-23T23:15:00Z</dcterms:modified>
  <cp:category/>
</cp:coreProperties>
</file>